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DD6" w:rsidRDefault="005E184C">
      <w:pPr>
        <w:rPr>
          <w:rFonts w:ascii="Calibri" w:eastAsia="Times New Roman" w:hAnsi="Calibri" w:cs="Calibri"/>
          <w:b/>
          <w:bCs/>
          <w:sz w:val="36"/>
          <w:szCs w:val="36"/>
          <w:lang w:eastAsia="fr-FR"/>
        </w:rPr>
      </w:pPr>
      <w:r>
        <w:rPr>
          <w:rFonts w:ascii="Calibri" w:eastAsia="Times New Roman" w:hAnsi="Calibri" w:cs="Calibri"/>
          <w:b/>
          <w:bCs/>
          <w:sz w:val="36"/>
          <w:szCs w:val="36"/>
          <w:lang w:eastAsia="fr-FR"/>
        </w:rPr>
        <w:t xml:space="preserve">Titre : </w:t>
      </w:r>
      <w:r w:rsidR="00A350A2">
        <w:rPr>
          <w:rFonts w:ascii="Calibri" w:eastAsia="Times New Roman" w:hAnsi="Calibri" w:cs="Calibri"/>
          <w:b/>
          <w:bCs/>
          <w:sz w:val="36"/>
          <w:szCs w:val="36"/>
          <w:lang w:eastAsia="fr-FR"/>
        </w:rPr>
        <w:t>8</w:t>
      </w:r>
      <w:r w:rsidR="00DA198F">
        <w:rPr>
          <w:rFonts w:ascii="Calibri" w:eastAsia="Times New Roman" w:hAnsi="Calibri" w:cs="Calibri"/>
          <w:b/>
          <w:bCs/>
          <w:sz w:val="36"/>
          <w:szCs w:val="36"/>
          <w:lang w:eastAsia="fr-FR"/>
        </w:rPr>
        <w:t xml:space="preserve"> KPI pour </w:t>
      </w:r>
      <w:bookmarkStart w:id="0" w:name="_GoBack"/>
      <w:bookmarkEnd w:id="0"/>
      <w:r w:rsidR="00DA198F">
        <w:rPr>
          <w:rFonts w:ascii="Calibri" w:eastAsia="Times New Roman" w:hAnsi="Calibri" w:cs="Calibri"/>
          <w:b/>
          <w:bCs/>
          <w:sz w:val="36"/>
          <w:szCs w:val="36"/>
          <w:lang w:eastAsia="fr-FR"/>
        </w:rPr>
        <w:t>optimiser votre logistique</w:t>
      </w:r>
    </w:p>
    <w:p w:rsidR="00362DD6" w:rsidRPr="00362DD6" w:rsidRDefault="00362DD6" w:rsidP="00362DD6">
      <w:pPr>
        <w:pStyle w:val="Paragraphedeliste"/>
        <w:numPr>
          <w:ilvl w:val="0"/>
          <w:numId w:val="1"/>
        </w:numPr>
        <w:rPr>
          <w:rFonts w:ascii="Calibri" w:eastAsia="Times New Roman" w:hAnsi="Calibri" w:cs="Calibri"/>
          <w:b/>
          <w:bCs/>
          <w:sz w:val="28"/>
          <w:szCs w:val="36"/>
          <w:lang w:eastAsia="fr-FR"/>
        </w:rPr>
      </w:pPr>
      <w:r w:rsidRPr="00362DD6">
        <w:rPr>
          <w:rFonts w:ascii="Calibri" w:eastAsia="Times New Roman" w:hAnsi="Calibri" w:cs="Calibri"/>
          <w:b/>
          <w:bCs/>
          <w:sz w:val="28"/>
          <w:szCs w:val="36"/>
          <w:lang w:eastAsia="fr-FR"/>
        </w:rPr>
        <w:t>Fiche d’identité de l’article</w:t>
      </w:r>
    </w:p>
    <w:tbl>
      <w:tblPr>
        <w:tblW w:w="9067" w:type="dxa"/>
        <w:tblCellMar>
          <w:left w:w="70" w:type="dxa"/>
          <w:right w:w="70" w:type="dxa"/>
        </w:tblCellMar>
        <w:tblLook w:val="04A0" w:firstRow="1" w:lastRow="0" w:firstColumn="1" w:lastColumn="0" w:noHBand="0" w:noVBand="1"/>
      </w:tblPr>
      <w:tblGrid>
        <w:gridCol w:w="2547"/>
        <w:gridCol w:w="6520"/>
      </w:tblGrid>
      <w:tr w:rsidR="00362DD6" w:rsidRPr="00362DD6" w:rsidTr="00445626">
        <w:trPr>
          <w:trHeight w:val="315"/>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Longueur</w:t>
            </w:r>
          </w:p>
        </w:tc>
        <w:tc>
          <w:tcPr>
            <w:tcW w:w="6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7B5AF0" w:rsidP="00362DD6">
            <w:pPr>
              <w:spacing w:after="0" w:line="240" w:lineRule="auto"/>
              <w:jc w:val="center"/>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5</w:t>
            </w:r>
            <w:r w:rsidR="00362DD6" w:rsidRPr="00362DD6">
              <w:rPr>
                <w:rFonts w:ascii="Calibri" w:eastAsia="Times New Roman" w:hAnsi="Calibri" w:cs="Calibri"/>
                <w:color w:val="000000"/>
                <w:sz w:val="24"/>
                <w:szCs w:val="24"/>
                <w:lang w:eastAsia="fr-FR"/>
              </w:rPr>
              <w:t>00-800</w:t>
            </w:r>
          </w:p>
        </w:tc>
      </w:tr>
      <w:tr w:rsidR="00362DD6" w:rsidRPr="00362DD6" w:rsidTr="00445626">
        <w:trPr>
          <w:trHeight w:val="660"/>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Partir de l'intention du mots-clés</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2DD6" w:rsidRPr="00362DD6" w:rsidRDefault="008E1D0A" w:rsidP="00362DD6">
            <w:pPr>
              <w:spacing w:after="0" w:line="240" w:lineRule="auto"/>
              <w:jc w:val="center"/>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Le lecteur souhaite trouver une lite de KPI à surveiller</w:t>
            </w:r>
          </w:p>
        </w:tc>
      </w:tr>
      <w:tr w:rsidR="00362DD6" w:rsidRPr="00362DD6" w:rsidTr="00445626">
        <w:trPr>
          <w:trHeight w:val="859"/>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Définir le contexte du lecteur</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362DD6" w:rsidRPr="00362DD6" w:rsidRDefault="008E1D0A" w:rsidP="00362DD6">
            <w:pPr>
              <w:spacing w:after="0" w:line="240" w:lineRule="auto"/>
              <w:jc w:val="center"/>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Il souhaite savoir les performances de sa stratégie logistique</w:t>
            </w:r>
          </w:p>
        </w:tc>
      </w:tr>
      <w:tr w:rsidR="00362DD6" w:rsidRPr="00362DD6" w:rsidTr="00445626">
        <w:trPr>
          <w:trHeight w:val="1122"/>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Définir le but de l'article</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2DD6" w:rsidRPr="00362DD6" w:rsidRDefault="008E1D0A" w:rsidP="00362DD6">
            <w:pPr>
              <w:spacing w:after="0" w:line="240" w:lineRule="auto"/>
              <w:jc w:val="center"/>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L’amener à réfléchir à l’amélioration de sa stratégie logistique</w:t>
            </w:r>
          </w:p>
        </w:tc>
      </w:tr>
      <w:tr w:rsidR="00362DD6" w:rsidRPr="00362DD6" w:rsidTr="00445626">
        <w:trPr>
          <w:trHeight w:val="1122"/>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Persona Cible</w:t>
            </w:r>
          </w:p>
        </w:tc>
        <w:tc>
          <w:tcPr>
            <w:tcW w:w="6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7B5AF0" w:rsidP="00C71E88">
            <w:pPr>
              <w:spacing w:after="0" w:line="240" w:lineRule="auto"/>
              <w:jc w:val="center"/>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 xml:space="preserve">Responsable </w:t>
            </w:r>
            <w:r w:rsidR="00C71E88">
              <w:rPr>
                <w:rFonts w:ascii="Calibri" w:eastAsia="Times New Roman" w:hAnsi="Calibri" w:cs="Calibri"/>
                <w:color w:val="000000"/>
                <w:sz w:val="24"/>
                <w:szCs w:val="24"/>
                <w:lang w:eastAsia="fr-FR"/>
              </w:rPr>
              <w:t>logistique</w:t>
            </w:r>
          </w:p>
        </w:tc>
      </w:tr>
      <w:tr w:rsidR="00362DD6" w:rsidRPr="00362DD6" w:rsidTr="00445626">
        <w:trPr>
          <w:trHeight w:val="480"/>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Mots-Clés SEO</w:t>
            </w:r>
          </w:p>
        </w:tc>
        <w:tc>
          <w:tcPr>
            <w:tcW w:w="652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rsidR="00362DD6" w:rsidRPr="00362DD6" w:rsidRDefault="00DA198F" w:rsidP="00362DD6">
            <w:pPr>
              <w:spacing w:after="0" w:line="240" w:lineRule="auto"/>
              <w:jc w:val="center"/>
              <w:rPr>
                <w:rFonts w:ascii="Calibri" w:eastAsia="Times New Roman" w:hAnsi="Calibri" w:cs="Calibri"/>
                <w:sz w:val="24"/>
                <w:szCs w:val="24"/>
                <w:lang w:eastAsia="fr-FR"/>
              </w:rPr>
            </w:pPr>
            <w:r>
              <w:rPr>
                <w:rFonts w:ascii="Calibri" w:eastAsia="Times New Roman" w:hAnsi="Calibri" w:cs="Calibri"/>
                <w:sz w:val="24"/>
                <w:szCs w:val="24"/>
                <w:lang w:eastAsia="fr-FR"/>
              </w:rPr>
              <w:t>KPI logistique</w:t>
            </w:r>
          </w:p>
        </w:tc>
      </w:tr>
      <w:tr w:rsidR="00362DD6" w:rsidRPr="00362DD6" w:rsidTr="00445626">
        <w:trPr>
          <w:trHeight w:val="379"/>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362DD6">
            <w:pPr>
              <w:spacing w:after="0" w:line="240" w:lineRule="auto"/>
              <w:jc w:val="center"/>
              <w:rPr>
                <w:rFonts w:ascii="Calibri" w:eastAsia="Times New Roman" w:hAnsi="Calibri" w:cs="Calibri"/>
                <w:b/>
                <w:color w:val="000000"/>
                <w:sz w:val="24"/>
                <w:szCs w:val="24"/>
                <w:lang w:eastAsia="fr-FR"/>
              </w:rPr>
            </w:pPr>
            <w:r w:rsidRPr="00362DD6">
              <w:rPr>
                <w:rFonts w:ascii="Calibri" w:eastAsia="Times New Roman" w:hAnsi="Calibri" w:cs="Calibri"/>
                <w:b/>
                <w:color w:val="000000"/>
                <w:sz w:val="24"/>
                <w:szCs w:val="24"/>
                <w:lang w:eastAsia="fr-FR"/>
              </w:rPr>
              <w:t>Call-to-action</w:t>
            </w:r>
          </w:p>
        </w:tc>
        <w:tc>
          <w:tcPr>
            <w:tcW w:w="6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C71E88" w:rsidP="00362DD6">
            <w:pPr>
              <w:spacing w:after="0" w:line="240" w:lineRule="auto"/>
              <w:jc w:val="center"/>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Les failles de votre stratégie logistique</w:t>
            </w:r>
          </w:p>
        </w:tc>
      </w:tr>
      <w:tr w:rsidR="00A77CB0" w:rsidRPr="00362DD6" w:rsidTr="00445626">
        <w:trPr>
          <w:trHeight w:val="379"/>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A77CB0" w:rsidRPr="00362DD6" w:rsidRDefault="00A77CB0" w:rsidP="00362DD6">
            <w:pPr>
              <w:spacing w:after="0" w:line="240" w:lineRule="auto"/>
              <w:jc w:val="center"/>
              <w:rPr>
                <w:rFonts w:ascii="Calibri" w:eastAsia="Times New Roman" w:hAnsi="Calibri" w:cs="Calibri"/>
                <w:b/>
                <w:color w:val="000000"/>
                <w:sz w:val="24"/>
                <w:szCs w:val="24"/>
                <w:lang w:eastAsia="fr-FR"/>
              </w:rPr>
            </w:pPr>
            <w:r>
              <w:rPr>
                <w:rFonts w:ascii="Calibri" w:eastAsia="Times New Roman" w:hAnsi="Calibri" w:cs="Calibri"/>
                <w:b/>
                <w:color w:val="000000"/>
                <w:sz w:val="24"/>
                <w:szCs w:val="24"/>
                <w:lang w:eastAsia="fr-FR"/>
              </w:rPr>
              <w:t>Champ sémantique</w:t>
            </w:r>
          </w:p>
        </w:tc>
        <w:tc>
          <w:tcPr>
            <w:tcW w:w="6520" w:type="dxa"/>
            <w:tcBorders>
              <w:top w:val="single" w:sz="4" w:space="0" w:color="auto"/>
              <w:left w:val="single" w:sz="4" w:space="0" w:color="auto"/>
              <w:bottom w:val="single" w:sz="4" w:space="0" w:color="auto"/>
              <w:right w:val="single" w:sz="4" w:space="0" w:color="auto"/>
            </w:tcBorders>
            <w:shd w:val="clear" w:color="auto" w:fill="auto"/>
            <w:noWrap/>
            <w:vAlign w:val="bottom"/>
          </w:tcPr>
          <w:tbl>
            <w:tblPr>
              <w:tblStyle w:val="Grilledutableau"/>
              <w:tblW w:w="0" w:type="auto"/>
              <w:tblLook w:val="04A0" w:firstRow="1" w:lastRow="0" w:firstColumn="1" w:lastColumn="0" w:noHBand="0" w:noVBand="1"/>
            </w:tblPr>
            <w:tblGrid>
              <w:gridCol w:w="2121"/>
              <w:gridCol w:w="2122"/>
              <w:gridCol w:w="2122"/>
            </w:tblGrid>
            <w:tr w:rsidR="00A77CB0" w:rsidTr="00A77CB0">
              <w:tc>
                <w:tcPr>
                  <w:tcW w:w="2121" w:type="dxa"/>
                </w:tcPr>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logistique</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indicateurs</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proofErr w:type="spellStart"/>
                  <w:r w:rsidRPr="009541C9">
                    <w:rPr>
                      <w:rFonts w:ascii="Calibri" w:eastAsia="Times New Roman" w:hAnsi="Calibri" w:cs="Calibri"/>
                      <w:color w:val="000000"/>
                      <w:sz w:val="24"/>
                      <w:szCs w:val="24"/>
                      <w:lang w:eastAsia="fr-FR"/>
                    </w:rPr>
                    <w:t>supply</w:t>
                  </w:r>
                  <w:proofErr w:type="spellEnd"/>
                </w:p>
                <w:p w:rsidR="009541C9" w:rsidRPr="009541C9" w:rsidRDefault="009541C9" w:rsidP="009541C9">
                  <w:pPr>
                    <w:spacing w:line="240" w:lineRule="auto"/>
                    <w:jc w:val="center"/>
                    <w:rPr>
                      <w:rFonts w:ascii="Calibri" w:eastAsia="Times New Roman" w:hAnsi="Calibri" w:cs="Calibri"/>
                      <w:color w:val="000000"/>
                      <w:sz w:val="24"/>
                      <w:szCs w:val="24"/>
                      <w:lang w:eastAsia="fr-FR"/>
                    </w:rPr>
                  </w:pPr>
                  <w:proofErr w:type="spellStart"/>
                  <w:r w:rsidRPr="009541C9">
                    <w:rPr>
                      <w:rFonts w:ascii="Calibri" w:eastAsia="Times New Roman" w:hAnsi="Calibri" w:cs="Calibri"/>
                      <w:color w:val="000000"/>
                      <w:sz w:val="24"/>
                      <w:szCs w:val="24"/>
                      <w:lang w:eastAsia="fr-FR"/>
                    </w:rPr>
                    <w:t>chain</w:t>
                  </w:r>
                  <w:proofErr w:type="spellEnd"/>
                </w:p>
                <w:p w:rsidR="00A77CB0"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gestion</w:t>
                  </w:r>
                </w:p>
              </w:tc>
              <w:tc>
                <w:tcPr>
                  <w:tcW w:w="2122" w:type="dxa"/>
                </w:tcPr>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performance</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entreprise</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taux</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couts</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service</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logistiques</w:t>
                  </w:r>
                </w:p>
                <w:p w:rsidR="00A77CB0" w:rsidRDefault="009541C9" w:rsidP="009541C9">
                  <w:pPr>
                    <w:spacing w:line="240" w:lineRule="auto"/>
                    <w:jc w:val="center"/>
                    <w:rPr>
                      <w:rFonts w:ascii="Calibri" w:eastAsia="Times New Roman" w:hAnsi="Calibri" w:cs="Calibri"/>
                      <w:color w:val="000000"/>
                      <w:sz w:val="24"/>
                      <w:szCs w:val="24"/>
                      <w:lang w:eastAsia="fr-FR"/>
                    </w:rPr>
                  </w:pPr>
                  <w:proofErr w:type="spellStart"/>
                  <w:r w:rsidRPr="009541C9">
                    <w:rPr>
                      <w:rFonts w:ascii="Calibri" w:eastAsia="Times New Roman" w:hAnsi="Calibri" w:cs="Calibri"/>
                      <w:color w:val="000000"/>
                      <w:sz w:val="24"/>
                      <w:szCs w:val="24"/>
                      <w:lang w:eastAsia="fr-FR"/>
                    </w:rPr>
                    <w:t>qualite</w:t>
                  </w:r>
                  <w:proofErr w:type="spellEnd"/>
                </w:p>
              </w:tc>
              <w:tc>
                <w:tcPr>
                  <w:tcW w:w="2122" w:type="dxa"/>
                </w:tcPr>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bord</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proofErr w:type="spellStart"/>
                  <w:r w:rsidRPr="009541C9">
                    <w:rPr>
                      <w:rFonts w:ascii="Calibri" w:eastAsia="Times New Roman" w:hAnsi="Calibri" w:cs="Calibri"/>
                      <w:color w:val="000000"/>
                      <w:sz w:val="24"/>
                      <w:szCs w:val="24"/>
                      <w:lang w:eastAsia="fr-FR"/>
                    </w:rPr>
                    <w:t>donnees</w:t>
                  </w:r>
                  <w:proofErr w:type="spellEnd"/>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management</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processus</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tableau</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mesure</w:t>
                  </w:r>
                </w:p>
                <w:p w:rsidR="009541C9" w:rsidRPr="009541C9"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stocks</w:t>
                  </w:r>
                </w:p>
                <w:p w:rsidR="00A77CB0" w:rsidRDefault="009541C9" w:rsidP="009541C9">
                  <w:pPr>
                    <w:spacing w:line="240" w:lineRule="auto"/>
                    <w:jc w:val="center"/>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cout</w:t>
                  </w:r>
                </w:p>
              </w:tc>
            </w:tr>
          </w:tbl>
          <w:p w:rsidR="00A77CB0" w:rsidRPr="00B368A1" w:rsidRDefault="00A77CB0" w:rsidP="00362DD6">
            <w:pPr>
              <w:spacing w:after="0" w:line="240" w:lineRule="auto"/>
              <w:jc w:val="center"/>
              <w:rPr>
                <w:rFonts w:ascii="Calibri" w:eastAsia="Times New Roman" w:hAnsi="Calibri" w:cs="Calibri"/>
                <w:color w:val="000000"/>
                <w:sz w:val="24"/>
                <w:szCs w:val="24"/>
                <w:lang w:eastAsia="fr-FR"/>
              </w:rPr>
            </w:pPr>
          </w:p>
        </w:tc>
      </w:tr>
    </w:tbl>
    <w:p w:rsidR="00362DD6" w:rsidRDefault="00362DD6"/>
    <w:p w:rsidR="00362DD6" w:rsidRDefault="00362DD6" w:rsidP="00362DD6">
      <w:pPr>
        <w:pStyle w:val="Paragraphedeliste"/>
        <w:numPr>
          <w:ilvl w:val="0"/>
          <w:numId w:val="1"/>
        </w:numPr>
        <w:rPr>
          <w:rFonts w:ascii="Calibri" w:eastAsia="Times New Roman" w:hAnsi="Calibri" w:cs="Calibri"/>
          <w:b/>
          <w:bCs/>
          <w:sz w:val="28"/>
          <w:szCs w:val="36"/>
          <w:lang w:eastAsia="fr-FR"/>
        </w:rPr>
      </w:pPr>
      <w:r>
        <w:rPr>
          <w:rFonts w:ascii="Calibri" w:eastAsia="Times New Roman" w:hAnsi="Calibri" w:cs="Calibri"/>
          <w:b/>
          <w:bCs/>
          <w:sz w:val="28"/>
          <w:szCs w:val="36"/>
          <w:lang w:eastAsia="fr-FR"/>
        </w:rPr>
        <w:t>Contenu</w:t>
      </w:r>
    </w:p>
    <w:tbl>
      <w:tblPr>
        <w:tblW w:w="9067" w:type="dxa"/>
        <w:tblCellMar>
          <w:left w:w="70" w:type="dxa"/>
          <w:right w:w="70" w:type="dxa"/>
        </w:tblCellMar>
        <w:tblLook w:val="04A0" w:firstRow="1" w:lastRow="0" w:firstColumn="1" w:lastColumn="0" w:noHBand="0" w:noVBand="1"/>
      </w:tblPr>
      <w:tblGrid>
        <w:gridCol w:w="2547"/>
        <w:gridCol w:w="6520"/>
      </w:tblGrid>
      <w:tr w:rsidR="00362DD6" w:rsidRPr="00B368A1" w:rsidTr="00445626">
        <w:trPr>
          <w:trHeight w:val="315"/>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62DD6" w:rsidRPr="00362DD6" w:rsidRDefault="00362DD6" w:rsidP="00362DD6">
            <w:pPr>
              <w:spacing w:after="0" w:line="240" w:lineRule="auto"/>
              <w:rPr>
                <w:rFonts w:ascii="Calibri" w:eastAsia="Times New Roman" w:hAnsi="Calibri" w:cs="Calibri"/>
                <w:b/>
                <w:color w:val="000000"/>
                <w:sz w:val="24"/>
                <w:szCs w:val="24"/>
                <w:lang w:eastAsia="fr-FR"/>
              </w:rPr>
            </w:pPr>
            <w:r>
              <w:rPr>
                <w:rFonts w:ascii="Calibri" w:eastAsia="Times New Roman" w:hAnsi="Calibri" w:cs="Calibri"/>
                <w:b/>
                <w:color w:val="000000"/>
                <w:sz w:val="24"/>
                <w:szCs w:val="24"/>
                <w:lang w:eastAsia="fr-FR"/>
              </w:rPr>
              <w:t>Introduction</w:t>
            </w:r>
          </w:p>
        </w:tc>
        <w:tc>
          <w:tcPr>
            <w:tcW w:w="65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2E13" w:rsidRPr="00E62E13" w:rsidRDefault="00A350A2" w:rsidP="00E62E13">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Ces 8 indicateurs vous permettront d’analyser votre performance logistique actuelle.</w:t>
            </w:r>
          </w:p>
        </w:tc>
      </w:tr>
      <w:tr w:rsidR="00362DD6" w:rsidRPr="00362DD6" w:rsidTr="00445626">
        <w:trPr>
          <w:trHeight w:val="660"/>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362DD6" w:rsidRPr="00362DD6" w:rsidRDefault="00362DD6" w:rsidP="00362DD6">
            <w:pPr>
              <w:spacing w:after="0" w:line="240" w:lineRule="auto"/>
              <w:rPr>
                <w:rFonts w:ascii="Calibri" w:eastAsia="Times New Roman" w:hAnsi="Calibri" w:cs="Calibri"/>
                <w:b/>
                <w:color w:val="000000"/>
                <w:sz w:val="24"/>
                <w:szCs w:val="24"/>
                <w:lang w:eastAsia="fr-FR"/>
              </w:rPr>
            </w:pPr>
            <w:r>
              <w:rPr>
                <w:rFonts w:ascii="Calibri" w:eastAsia="Times New Roman" w:hAnsi="Calibri" w:cs="Calibri"/>
                <w:b/>
                <w:color w:val="000000"/>
                <w:sz w:val="24"/>
                <w:szCs w:val="24"/>
                <w:lang w:eastAsia="fr-FR"/>
              </w:rPr>
              <w:t>Corps de l’article</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rsidR="00A77CB0" w:rsidRPr="00A77CB0" w:rsidRDefault="00A77CB0" w:rsidP="00A77CB0">
            <w:pPr>
              <w:spacing w:after="0" w:line="240" w:lineRule="auto"/>
              <w:rPr>
                <w:rFonts w:ascii="Calibri" w:eastAsia="Times New Roman" w:hAnsi="Calibri" w:cs="Calibri"/>
                <w:color w:val="000000"/>
                <w:sz w:val="24"/>
                <w:szCs w:val="24"/>
                <w:lang w:eastAsia="fr-FR"/>
              </w:rPr>
            </w:pPr>
          </w:p>
          <w:p w:rsidR="00A77CB0" w:rsidRPr="009541C9" w:rsidRDefault="00DA198F"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1 / le niveau de stock</w:t>
            </w:r>
          </w:p>
          <w:p w:rsidR="009541C9" w:rsidRDefault="009541C9" w:rsidP="00A77CB0">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Le niveau de stock est suivi par la rotation du stock. La rotation du stock exprime en nombre de jours le temps que reste le produit en stock avan</w:t>
            </w:r>
            <w:r>
              <w:rPr>
                <w:rFonts w:ascii="Calibri" w:eastAsia="Times New Roman" w:hAnsi="Calibri" w:cs="Calibri"/>
                <w:color w:val="000000"/>
                <w:sz w:val="24"/>
                <w:szCs w:val="24"/>
                <w:lang w:eastAsia="fr-FR"/>
              </w:rPr>
              <w:t>t d’être vendu. Il se calculera</w:t>
            </w:r>
            <w:r w:rsidRPr="009541C9">
              <w:rPr>
                <w:rFonts w:ascii="Calibri" w:eastAsia="Times New Roman" w:hAnsi="Calibri" w:cs="Calibri"/>
                <w:color w:val="000000"/>
                <w:sz w:val="24"/>
                <w:szCs w:val="24"/>
                <w:lang w:eastAsia="fr-FR"/>
              </w:rPr>
              <w:t>, sur la base d’un stock à J, divisé par les ventes moyennes par jour</w:t>
            </w:r>
            <w:r>
              <w:rPr>
                <w:rFonts w:ascii="Calibri" w:eastAsia="Times New Roman" w:hAnsi="Calibri" w:cs="Calibri"/>
                <w:color w:val="000000"/>
                <w:sz w:val="24"/>
                <w:szCs w:val="24"/>
                <w:lang w:eastAsia="fr-FR"/>
              </w:rPr>
              <w:t>.</w:t>
            </w:r>
          </w:p>
          <w:p w:rsidR="009541C9" w:rsidRDefault="009541C9" w:rsidP="00A77CB0">
            <w:pPr>
              <w:spacing w:after="0" w:line="240" w:lineRule="auto"/>
              <w:rPr>
                <w:rFonts w:ascii="Calibri" w:eastAsia="Times New Roman" w:hAnsi="Calibri" w:cs="Calibri"/>
                <w:color w:val="000000"/>
                <w:sz w:val="24"/>
                <w:szCs w:val="24"/>
                <w:lang w:eastAsia="fr-FR"/>
              </w:rPr>
            </w:pPr>
          </w:p>
          <w:p w:rsidR="009541C9" w:rsidRPr="009541C9" w:rsidRDefault="00DA198F"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2 / fiabilité des prévisions</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Récupérer vos prévisions par article et vos ventes sur la période souhaitée.</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 xml:space="preserve">Sur quel horizon ? Il existe des milliers de façons de calculer </w:t>
            </w:r>
            <w:r w:rsidRPr="009541C9">
              <w:rPr>
                <w:rFonts w:ascii="Calibri" w:eastAsia="Times New Roman" w:hAnsi="Calibri" w:cs="Calibri"/>
                <w:color w:val="000000"/>
                <w:sz w:val="24"/>
                <w:szCs w:val="24"/>
                <w:lang w:eastAsia="fr-FR"/>
              </w:rPr>
              <w:lastRenderedPageBreak/>
              <w:t xml:space="preserve">votre fiabilité de prévision. La vraie question est sur quel horizon ? C’est à dire combien de temps sépare le moment ou vous avez fait votre prévision et le moment de vos ventes. 1 mois ? 6 mois ? Je recommande d’utiliser au moins la durée moyenne de votre approvisionnement. Si votre </w:t>
            </w:r>
            <w:proofErr w:type="gramStart"/>
            <w:r w:rsidRPr="009541C9">
              <w:rPr>
                <w:rFonts w:ascii="Calibri" w:eastAsia="Times New Roman" w:hAnsi="Calibri" w:cs="Calibri"/>
                <w:color w:val="000000"/>
                <w:sz w:val="24"/>
                <w:szCs w:val="24"/>
                <w:lang w:eastAsia="fr-FR"/>
              </w:rPr>
              <w:t>délais</w:t>
            </w:r>
            <w:proofErr w:type="gramEnd"/>
            <w:r w:rsidRPr="009541C9">
              <w:rPr>
                <w:rFonts w:ascii="Calibri" w:eastAsia="Times New Roman" w:hAnsi="Calibri" w:cs="Calibri"/>
                <w:color w:val="000000"/>
                <w:sz w:val="24"/>
                <w:szCs w:val="24"/>
                <w:lang w:eastAsia="fr-FR"/>
              </w:rPr>
              <w:t xml:space="preserve"> est de 2 mois, comparer vos ventes avec votre prévisions faites 2 mois avant. Si vous comparez par rapport au mois précédent, cela n’a pas moins d’intérêt, car si ce délai est trop court pour réagir, il est aussi un moyen de démarrer simplement.</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Ecart absolu : Il s’agit de calculer l’écart moyen absolu entre vos ventes et vos prévisions, article par article car même en vendant 50 quantités de plus ou de moins, l’écart reste le même : 50. Utiliser l’écart absolu (et non l’écart) est fondamental quand vous calculez sur plusieurs articles, sinon la sommes des écarts pourraient s’annuler entre eux. Dans cet exemple on peut bien voir que la somme des écarts est seulement de 200 quantités, ce qui renvoie à un écart de 20% entre les prévisions et les ventes. Mais en réalité, en prenant l’écart absolu, nous sommes à 60% d’écart moyen, soit 40% de fiabilité de prévision et non 80%.</w:t>
            </w:r>
          </w:p>
          <w:p w:rsid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Calcul : 1 – (somme écart absolu par article / ventes totales)</w:t>
            </w:r>
          </w:p>
          <w:p w:rsid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DA198F"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3 / Taux de service</w:t>
            </w:r>
          </w:p>
          <w:p w:rsidR="009541C9" w:rsidRDefault="009541C9" w:rsidP="00A77CB0">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Le taux de service peut ici porter sur les lignes de commandes, sur les quantités ou sur le nombre de palettes. Le taux de service se calcule en divisant ce qui est livré par ce qui est commandé. Cet indicateur pourra introduire la notion de « livré à temps » ou « hors délai » (les livraisons hors délai pouvant ne pas être comptabilisées.</w:t>
            </w:r>
          </w:p>
          <w:p w:rsidR="009541C9" w:rsidRDefault="009541C9" w:rsidP="00A77CB0">
            <w:pPr>
              <w:spacing w:after="0" w:line="240" w:lineRule="auto"/>
              <w:rPr>
                <w:rFonts w:ascii="Calibri" w:eastAsia="Times New Roman" w:hAnsi="Calibri" w:cs="Calibri"/>
                <w:color w:val="000000"/>
                <w:sz w:val="24"/>
                <w:szCs w:val="24"/>
                <w:lang w:eastAsia="fr-FR"/>
              </w:rPr>
            </w:pPr>
          </w:p>
          <w:p w:rsidR="00DA198F" w:rsidRPr="009541C9" w:rsidRDefault="00DA198F"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4 / reliquats de commandes</w:t>
            </w:r>
          </w:p>
          <w:p w:rsidR="009541C9" w:rsidRDefault="009541C9" w:rsidP="00A77CB0">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Un indicateur établissant le nombre de jours de retard peut être mis en place. Celui-ci se basera sur le nombre de jours de retard par rapport à la date de livraison fixée dans la commande (à la ligne).</w:t>
            </w:r>
          </w:p>
          <w:p w:rsidR="009541C9" w:rsidRDefault="009541C9" w:rsidP="00A77CB0">
            <w:pPr>
              <w:spacing w:after="0" w:line="240" w:lineRule="auto"/>
              <w:rPr>
                <w:rFonts w:ascii="Calibri" w:eastAsia="Times New Roman" w:hAnsi="Calibri" w:cs="Calibri"/>
                <w:color w:val="000000"/>
                <w:sz w:val="24"/>
                <w:szCs w:val="24"/>
                <w:lang w:eastAsia="fr-FR"/>
              </w:rPr>
            </w:pPr>
          </w:p>
          <w:p w:rsidR="00491FCC" w:rsidRPr="009541C9" w:rsidRDefault="00DA198F"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5/ taux de service au consommateur</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Sur 100 commandes reçues, il s’agit ici de comprendre combien de commandes sont livrées dans les temps. Appelé aussi « Service Rate » en anglais.</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Récupérer la liste complète des commandes reçues sur la période souhaitée. Je recommande une période d’une semaine pour commencer.</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 xml:space="preserve">Récupérer ensuite sur </w:t>
            </w:r>
            <w:proofErr w:type="gramStart"/>
            <w:r w:rsidRPr="009541C9">
              <w:rPr>
                <w:rFonts w:ascii="Calibri" w:eastAsia="Times New Roman" w:hAnsi="Calibri" w:cs="Calibri"/>
                <w:color w:val="000000"/>
                <w:sz w:val="24"/>
                <w:szCs w:val="24"/>
                <w:lang w:eastAsia="fr-FR"/>
              </w:rPr>
              <w:t>ces même articles</w:t>
            </w:r>
            <w:proofErr w:type="gramEnd"/>
            <w:r w:rsidRPr="009541C9">
              <w:rPr>
                <w:rFonts w:ascii="Calibri" w:eastAsia="Times New Roman" w:hAnsi="Calibri" w:cs="Calibri"/>
                <w:color w:val="000000"/>
                <w:sz w:val="24"/>
                <w:szCs w:val="24"/>
                <w:lang w:eastAsia="fr-FR"/>
              </w:rPr>
              <w:t>, les commandes livrées dans les temps. Si celles-ci sont en retard, alors = 0 dans l’Excel de gestion de stock. Si vous n’avez pas accès à cette information, vous pouvez prendre les commandes expédiés.</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lastRenderedPageBreak/>
              <w:t>Il suffit ensuite de diviser les commandes livrées / commande reçues pour connaitre votre taux de service.</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Vous pouvez animer simultanément un taux de service sur les commandes expédiées et un autre « taux de service dans les temps » (service rate on time) sur les commandes livrées dans les temps pour animer à la fois la qualité de votre gestion de stock pour le premier et la qualité de votre logistique pour le second (délais préparation commande + transport).</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Par exemple, vous pouvez expédier 100% de vos produits commandés par votre client mais livrer seulement 50% dans le délai demandé par votre fournisseur. Taux de service = 100</w:t>
            </w:r>
            <w:proofErr w:type="gramStart"/>
            <w:r w:rsidRPr="009541C9">
              <w:rPr>
                <w:rFonts w:ascii="Calibri" w:eastAsia="Times New Roman" w:hAnsi="Calibri" w:cs="Calibri"/>
                <w:color w:val="000000"/>
                <w:sz w:val="24"/>
                <w:szCs w:val="24"/>
                <w:lang w:eastAsia="fr-FR"/>
              </w:rPr>
              <w:t>% ,</w:t>
            </w:r>
            <w:proofErr w:type="gramEnd"/>
            <w:r w:rsidRPr="009541C9">
              <w:rPr>
                <w:rFonts w:ascii="Calibri" w:eastAsia="Times New Roman" w:hAnsi="Calibri" w:cs="Calibri"/>
                <w:color w:val="000000"/>
                <w:sz w:val="24"/>
                <w:szCs w:val="24"/>
                <w:lang w:eastAsia="fr-FR"/>
              </w:rPr>
              <w:t xml:space="preserve"> taux de service dans les temps = 50%. Dans la grande distribution, les commandes en retard sont automatiquement refuser à la </w:t>
            </w:r>
            <w:proofErr w:type="spellStart"/>
            <w:r w:rsidRPr="009541C9">
              <w:rPr>
                <w:rFonts w:ascii="Calibri" w:eastAsia="Times New Roman" w:hAnsi="Calibri" w:cs="Calibri"/>
                <w:color w:val="000000"/>
                <w:sz w:val="24"/>
                <w:szCs w:val="24"/>
                <w:lang w:eastAsia="fr-FR"/>
              </w:rPr>
              <w:t>reception</w:t>
            </w:r>
            <w:proofErr w:type="spellEnd"/>
            <w:r w:rsidRPr="009541C9">
              <w:rPr>
                <w:rFonts w:ascii="Calibri" w:eastAsia="Times New Roman" w:hAnsi="Calibri" w:cs="Calibri"/>
                <w:color w:val="000000"/>
                <w:sz w:val="24"/>
                <w:szCs w:val="24"/>
                <w:lang w:eastAsia="fr-FR"/>
              </w:rPr>
              <w:t xml:space="preserve"> mais avoir ces 2 indicateurs séparés vous permet d’identifier si le problème provient de votre stock ou votre livraison.</w:t>
            </w:r>
          </w:p>
          <w:p w:rsid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Conserver ce taux de service une fois par semaine/mois au moins pour mesurer votre performance et vous construire un historique.</w:t>
            </w:r>
          </w:p>
          <w:p w:rsidR="009541C9" w:rsidRDefault="009541C9" w:rsidP="009541C9">
            <w:pPr>
              <w:spacing w:after="0" w:line="240" w:lineRule="auto"/>
              <w:rPr>
                <w:rFonts w:ascii="Calibri" w:eastAsia="Times New Roman" w:hAnsi="Calibri" w:cs="Calibri"/>
                <w:color w:val="000000"/>
                <w:sz w:val="24"/>
                <w:szCs w:val="24"/>
                <w:lang w:eastAsia="fr-FR"/>
              </w:rPr>
            </w:pPr>
          </w:p>
          <w:p w:rsidR="00DA198F" w:rsidRPr="009541C9" w:rsidRDefault="00DA198F"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 xml:space="preserve">6 / Suivi des délais </w:t>
            </w:r>
          </w:p>
          <w:p w:rsidR="009541C9" w:rsidRDefault="009541C9" w:rsidP="00A77CB0">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Concernant le suivi des délais, nous disposons de deux indicateurs. Le premier définit en nombre de jours (ou d’heures) le délai entre le passage de la commande et sa réception. Le deuxième concerne la production. Il établit le délai de production et se calcule en déterminant le nombre de jours (ou d’heures) écoulés entre l’ordre de fabrication et la réception de la commande.</w:t>
            </w:r>
          </w:p>
          <w:p w:rsidR="009541C9" w:rsidRDefault="009541C9" w:rsidP="00A77CB0">
            <w:pPr>
              <w:spacing w:after="0" w:line="240" w:lineRule="auto"/>
              <w:rPr>
                <w:rFonts w:ascii="Calibri" w:eastAsia="Times New Roman" w:hAnsi="Calibri" w:cs="Calibri"/>
                <w:color w:val="000000"/>
                <w:sz w:val="24"/>
                <w:szCs w:val="24"/>
                <w:lang w:eastAsia="fr-FR"/>
              </w:rPr>
            </w:pPr>
          </w:p>
          <w:p w:rsidR="00491FCC" w:rsidRPr="009541C9" w:rsidRDefault="00491FCC" w:rsidP="00A77CB0">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7 / taux de disponibilité</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En % : sur 100 produits, combien sont disponibles pour le client (en magasin, entrepôt…). Le tableau ci-dessous résume simplement le calcul sur 10 articles.</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Exemple : J’ai 100 produits dans mon catalogue, seulement 70 sont disponibles pour mes clients, j’ai donc une disponibilité de 70/100 = 70%.</w:t>
            </w:r>
          </w:p>
          <w:p w:rsid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Ce calcul se fait à l’instant T, idéalement le jour même. Vous pouvez faire des moyennes par jour ensuite. Ce calcul ne se fait que sur les références actives du catalogue. Les fins de série et les nouveaux produits pas encore en stock en sont exclus.</w:t>
            </w:r>
          </w:p>
          <w:p w:rsidR="009541C9" w:rsidRDefault="009541C9" w:rsidP="009541C9">
            <w:pPr>
              <w:spacing w:after="0" w:line="240" w:lineRule="auto"/>
              <w:rPr>
                <w:rFonts w:ascii="Calibri" w:eastAsia="Times New Roman" w:hAnsi="Calibri" w:cs="Calibri"/>
                <w:color w:val="000000"/>
                <w:sz w:val="24"/>
                <w:szCs w:val="24"/>
                <w:lang w:eastAsia="fr-FR"/>
              </w:rPr>
            </w:pPr>
          </w:p>
          <w:p w:rsidR="009541C9" w:rsidRDefault="009541C9" w:rsidP="009541C9">
            <w:pPr>
              <w:spacing w:after="0" w:line="240" w:lineRule="auto"/>
              <w:rPr>
                <w:rFonts w:ascii="Calibri" w:eastAsia="Times New Roman" w:hAnsi="Calibri" w:cs="Calibri"/>
                <w:b/>
                <w:color w:val="000000"/>
                <w:sz w:val="24"/>
                <w:szCs w:val="24"/>
                <w:lang w:eastAsia="fr-FR"/>
              </w:rPr>
            </w:pPr>
            <w:r w:rsidRPr="009541C9">
              <w:rPr>
                <w:rFonts w:ascii="Calibri" w:eastAsia="Times New Roman" w:hAnsi="Calibri" w:cs="Calibri"/>
                <w:b/>
                <w:color w:val="000000"/>
                <w:sz w:val="24"/>
                <w:szCs w:val="24"/>
                <w:lang w:eastAsia="fr-FR"/>
              </w:rPr>
              <w:t>8/ Calcul couverture de stock future</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Au lieu d’utiliser les ventes passées, vous pouvez utiliser les prévisions de ventes futures pour estimer votre future rotation de stock. Dans ce cas : stock moyen = Stock actuel + stock en transit (avec ou sans au choix).</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 xml:space="preserve">Ce calcul n’est pas parfait car pour être correct, il faudrait prendre en compte la saisonnalité et les dates d’arrivée de chaque commande. Cependant, il vous alertera sur les risques futurs de rupture et de </w:t>
            </w:r>
            <w:proofErr w:type="spellStart"/>
            <w:r w:rsidRPr="009541C9">
              <w:rPr>
                <w:rFonts w:ascii="Calibri" w:eastAsia="Times New Roman" w:hAnsi="Calibri" w:cs="Calibri"/>
                <w:color w:val="000000"/>
                <w:sz w:val="24"/>
                <w:szCs w:val="24"/>
                <w:lang w:eastAsia="fr-FR"/>
              </w:rPr>
              <w:t>sur-stock</w:t>
            </w:r>
            <w:proofErr w:type="spellEnd"/>
            <w:r w:rsidRPr="009541C9">
              <w:rPr>
                <w:rFonts w:ascii="Calibri" w:eastAsia="Times New Roman" w:hAnsi="Calibri" w:cs="Calibri"/>
                <w:color w:val="000000"/>
                <w:sz w:val="24"/>
                <w:szCs w:val="24"/>
                <w:lang w:eastAsia="fr-FR"/>
              </w:rPr>
              <w:t>.</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C’est pour cela que je recommande de rajouter 2 colonnes :</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 une colonne : Date prochaine réception.</w:t>
            </w: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 une colonne : Quantité prochaine réception.</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 xml:space="preserve">Cela a pour objectif de voir rapidement si votre prochaine commande arrive à temps pour ne pas être en rupture ou trop tôt pour ne pas être en </w:t>
            </w:r>
            <w:proofErr w:type="spellStart"/>
            <w:r w:rsidRPr="009541C9">
              <w:rPr>
                <w:rFonts w:ascii="Calibri" w:eastAsia="Times New Roman" w:hAnsi="Calibri" w:cs="Calibri"/>
                <w:color w:val="000000"/>
                <w:sz w:val="24"/>
                <w:szCs w:val="24"/>
                <w:lang w:eastAsia="fr-FR"/>
              </w:rPr>
              <w:t>sur-stock</w:t>
            </w:r>
            <w:proofErr w:type="spellEnd"/>
            <w:r w:rsidRPr="009541C9">
              <w:rPr>
                <w:rFonts w:ascii="Calibri" w:eastAsia="Times New Roman" w:hAnsi="Calibri" w:cs="Calibri"/>
                <w:color w:val="000000"/>
                <w:sz w:val="24"/>
                <w:szCs w:val="24"/>
                <w:lang w:eastAsia="fr-FR"/>
              </w:rPr>
              <w:t>).</w:t>
            </w:r>
          </w:p>
          <w:p w:rsidR="009541C9" w:rsidRPr="009541C9" w:rsidRDefault="009541C9" w:rsidP="009541C9">
            <w:pPr>
              <w:spacing w:after="0" w:line="240" w:lineRule="auto"/>
              <w:rPr>
                <w:rFonts w:ascii="Calibri" w:eastAsia="Times New Roman" w:hAnsi="Calibri" w:cs="Calibri"/>
                <w:color w:val="000000"/>
                <w:sz w:val="24"/>
                <w:szCs w:val="24"/>
                <w:lang w:eastAsia="fr-FR"/>
              </w:rPr>
            </w:pPr>
          </w:p>
          <w:p w:rsidR="009541C9" w:rsidRPr="009541C9" w:rsidRDefault="009541C9" w:rsidP="009541C9">
            <w:pPr>
              <w:spacing w:after="0" w:line="240" w:lineRule="auto"/>
              <w:rPr>
                <w:rFonts w:ascii="Calibri" w:eastAsia="Times New Roman" w:hAnsi="Calibri" w:cs="Calibri"/>
                <w:color w:val="000000"/>
                <w:sz w:val="24"/>
                <w:szCs w:val="24"/>
                <w:lang w:eastAsia="fr-FR"/>
              </w:rPr>
            </w:pPr>
            <w:r w:rsidRPr="009541C9">
              <w:rPr>
                <w:rFonts w:ascii="Calibri" w:eastAsia="Times New Roman" w:hAnsi="Calibri" w:cs="Calibri"/>
                <w:color w:val="000000"/>
                <w:sz w:val="24"/>
                <w:szCs w:val="24"/>
                <w:lang w:eastAsia="fr-FR"/>
              </w:rPr>
              <w:t>À noter que si vous possédez déjà un ERP type SAP, vous pouvez très probablement extraire la réelle couverture de stock par article.</w:t>
            </w:r>
          </w:p>
        </w:tc>
      </w:tr>
      <w:tr w:rsidR="00362DD6" w:rsidRPr="00362DD6" w:rsidTr="00445626">
        <w:trPr>
          <w:trHeight w:val="859"/>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362DD6" w:rsidRPr="00362DD6" w:rsidRDefault="00362DD6" w:rsidP="007733A0">
            <w:pPr>
              <w:spacing w:after="0" w:line="240" w:lineRule="auto"/>
              <w:jc w:val="center"/>
              <w:rPr>
                <w:rFonts w:ascii="Calibri" w:eastAsia="Times New Roman" w:hAnsi="Calibri" w:cs="Calibri"/>
                <w:b/>
                <w:color w:val="000000"/>
                <w:sz w:val="24"/>
                <w:szCs w:val="24"/>
                <w:lang w:eastAsia="fr-FR"/>
              </w:rPr>
            </w:pPr>
            <w:r>
              <w:rPr>
                <w:rFonts w:ascii="Calibri" w:eastAsia="Times New Roman" w:hAnsi="Calibri" w:cs="Calibri"/>
                <w:b/>
                <w:color w:val="000000"/>
                <w:sz w:val="24"/>
                <w:szCs w:val="24"/>
                <w:lang w:eastAsia="fr-FR"/>
              </w:rPr>
              <w:lastRenderedPageBreak/>
              <w:t>Conclusion</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362DD6" w:rsidRPr="00362DD6" w:rsidRDefault="00A350A2" w:rsidP="00362DD6">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Tous ces indicateurs vous permettront d’avoir conscience de votre performance actuelle. Nous espérons que cela vous encouragera a augmenté votre productivité et votre satisfaction client.</w:t>
            </w:r>
          </w:p>
        </w:tc>
      </w:tr>
    </w:tbl>
    <w:p w:rsidR="0089336D" w:rsidRDefault="0089336D"/>
    <w:p w:rsidR="00362DD6" w:rsidRPr="00362DD6" w:rsidRDefault="00362DD6" w:rsidP="00362DD6">
      <w:pPr>
        <w:pStyle w:val="Paragraphedeliste"/>
        <w:numPr>
          <w:ilvl w:val="0"/>
          <w:numId w:val="1"/>
        </w:numPr>
        <w:rPr>
          <w:rFonts w:ascii="Calibri" w:eastAsia="Times New Roman" w:hAnsi="Calibri" w:cs="Calibri"/>
          <w:b/>
          <w:bCs/>
          <w:sz w:val="28"/>
          <w:szCs w:val="36"/>
          <w:lang w:eastAsia="fr-FR"/>
        </w:rPr>
      </w:pPr>
      <w:r w:rsidRPr="00362DD6">
        <w:rPr>
          <w:rFonts w:ascii="Calibri" w:eastAsia="Times New Roman" w:hAnsi="Calibri" w:cs="Calibri"/>
          <w:b/>
          <w:bCs/>
          <w:sz w:val="28"/>
          <w:szCs w:val="36"/>
          <w:lang w:eastAsia="fr-FR"/>
        </w:rPr>
        <w:t xml:space="preserve">Sources </w:t>
      </w:r>
    </w:p>
    <w:tbl>
      <w:tblPr>
        <w:tblW w:w="9067" w:type="dxa"/>
        <w:tblCellMar>
          <w:left w:w="70" w:type="dxa"/>
          <w:right w:w="70" w:type="dxa"/>
        </w:tblCellMar>
        <w:tblLook w:val="04A0" w:firstRow="1" w:lastRow="0" w:firstColumn="1" w:lastColumn="0" w:noHBand="0" w:noVBand="1"/>
      </w:tblPr>
      <w:tblGrid>
        <w:gridCol w:w="2824"/>
        <w:gridCol w:w="6243"/>
      </w:tblGrid>
      <w:tr w:rsidR="00362DD6" w:rsidRPr="00362DD6" w:rsidTr="00445626">
        <w:trPr>
          <w:trHeight w:val="315"/>
        </w:trPr>
        <w:tc>
          <w:tcPr>
            <w:tcW w:w="2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b/>
                <w:bCs/>
                <w:color w:val="000000"/>
                <w:sz w:val="24"/>
                <w:szCs w:val="24"/>
                <w:lang w:eastAsia="fr-FR"/>
              </w:rPr>
            </w:pPr>
            <w:r w:rsidRPr="00362DD6">
              <w:rPr>
                <w:rFonts w:ascii="Calibri" w:eastAsia="Times New Roman" w:hAnsi="Calibri" w:cs="Calibri"/>
                <w:b/>
                <w:bCs/>
                <w:color w:val="000000"/>
                <w:sz w:val="24"/>
                <w:szCs w:val="24"/>
                <w:lang w:eastAsia="fr-FR"/>
              </w:rPr>
              <w:t>Sources :</w:t>
            </w:r>
          </w:p>
        </w:tc>
        <w:tc>
          <w:tcPr>
            <w:tcW w:w="6243" w:type="dxa"/>
            <w:tcBorders>
              <w:top w:val="single" w:sz="4" w:space="0" w:color="auto"/>
              <w:left w:val="nil"/>
              <w:bottom w:val="single" w:sz="4" w:space="0" w:color="auto"/>
              <w:right w:val="single" w:sz="4" w:space="0" w:color="auto"/>
            </w:tcBorders>
            <w:shd w:val="clear" w:color="auto" w:fill="auto"/>
            <w:vAlign w:val="bottom"/>
            <w:hideMark/>
          </w:tcPr>
          <w:p w:rsidR="00362DD6" w:rsidRPr="00362DD6" w:rsidRDefault="00A350A2" w:rsidP="00AF1C75">
            <w:pPr>
              <w:spacing w:after="0" w:line="240" w:lineRule="auto"/>
              <w:rPr>
                <w:rFonts w:ascii="Calibri" w:eastAsia="Times New Roman" w:hAnsi="Calibri" w:cs="Calibri"/>
                <w:color w:val="0563C1"/>
                <w:sz w:val="24"/>
                <w:szCs w:val="24"/>
                <w:u w:val="single"/>
                <w:lang w:eastAsia="fr-FR"/>
              </w:rPr>
            </w:pPr>
            <w:r w:rsidRPr="00A350A2">
              <w:rPr>
                <w:rFonts w:ascii="Calibri" w:eastAsia="Times New Roman" w:hAnsi="Calibri" w:cs="Calibri"/>
                <w:color w:val="0563C1"/>
                <w:sz w:val="24"/>
                <w:szCs w:val="24"/>
                <w:u w:val="single"/>
                <w:lang w:eastAsia="fr-FR"/>
              </w:rPr>
              <w:t>http://gestion-de-stock.com/indicateurs-supply-chain/</w:t>
            </w:r>
          </w:p>
        </w:tc>
      </w:tr>
      <w:tr w:rsidR="00362DD6" w:rsidRPr="00362DD6" w:rsidTr="00445626">
        <w:trPr>
          <w:trHeight w:val="315"/>
        </w:trPr>
        <w:tc>
          <w:tcPr>
            <w:tcW w:w="2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color w:val="000000"/>
                <w:sz w:val="24"/>
                <w:szCs w:val="24"/>
                <w:lang w:eastAsia="fr-FR"/>
              </w:rPr>
            </w:pPr>
            <w:r w:rsidRPr="00362DD6">
              <w:rPr>
                <w:rFonts w:ascii="Calibri" w:eastAsia="Times New Roman" w:hAnsi="Calibri" w:cs="Calibri"/>
                <w:color w:val="000000"/>
                <w:sz w:val="24"/>
                <w:szCs w:val="24"/>
                <w:lang w:eastAsia="fr-FR"/>
              </w:rPr>
              <w:t> </w:t>
            </w:r>
          </w:p>
        </w:tc>
        <w:tc>
          <w:tcPr>
            <w:tcW w:w="6243" w:type="dxa"/>
            <w:tcBorders>
              <w:top w:val="single" w:sz="4" w:space="0" w:color="auto"/>
              <w:left w:val="nil"/>
              <w:bottom w:val="single" w:sz="4" w:space="0" w:color="auto"/>
              <w:right w:val="single" w:sz="4" w:space="0" w:color="auto"/>
            </w:tcBorders>
            <w:shd w:val="clear" w:color="auto" w:fill="auto"/>
            <w:vAlign w:val="bottom"/>
            <w:hideMark/>
          </w:tcPr>
          <w:p w:rsidR="00362DD6" w:rsidRPr="00362DD6" w:rsidRDefault="00A350A2" w:rsidP="00B368A1">
            <w:pPr>
              <w:spacing w:after="0" w:line="240" w:lineRule="auto"/>
              <w:rPr>
                <w:rFonts w:ascii="Calibri" w:eastAsia="Times New Roman" w:hAnsi="Calibri" w:cs="Calibri"/>
                <w:color w:val="0563C1"/>
                <w:sz w:val="24"/>
                <w:szCs w:val="24"/>
                <w:u w:val="single"/>
                <w:lang w:eastAsia="fr-FR"/>
              </w:rPr>
            </w:pPr>
            <w:r w:rsidRPr="00A350A2">
              <w:rPr>
                <w:rFonts w:ascii="Calibri" w:eastAsia="Times New Roman" w:hAnsi="Calibri" w:cs="Calibri"/>
                <w:color w:val="0563C1"/>
                <w:sz w:val="24"/>
                <w:szCs w:val="24"/>
                <w:u w:val="single"/>
                <w:lang w:eastAsia="fr-FR"/>
              </w:rPr>
              <w:t>https://www.excellence-operationnelle.tv/voici-les-6-indicateurs-incontournables-pour-optimiser-votre-supply-chain.php/</w:t>
            </w:r>
          </w:p>
        </w:tc>
      </w:tr>
      <w:tr w:rsidR="00362DD6" w:rsidRPr="00362DD6" w:rsidTr="00445626">
        <w:trPr>
          <w:trHeight w:val="315"/>
        </w:trPr>
        <w:tc>
          <w:tcPr>
            <w:tcW w:w="2824" w:type="dxa"/>
            <w:tcBorders>
              <w:top w:val="nil"/>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color w:val="000000"/>
                <w:sz w:val="24"/>
                <w:szCs w:val="24"/>
                <w:lang w:eastAsia="fr-FR"/>
              </w:rPr>
            </w:pPr>
            <w:r w:rsidRPr="00362DD6">
              <w:rPr>
                <w:rFonts w:ascii="Calibri" w:eastAsia="Times New Roman" w:hAnsi="Calibri" w:cs="Calibri"/>
                <w:color w:val="000000"/>
                <w:sz w:val="24"/>
                <w:szCs w:val="24"/>
                <w:lang w:eastAsia="fr-FR"/>
              </w:rPr>
              <w:t> </w:t>
            </w:r>
          </w:p>
        </w:tc>
        <w:tc>
          <w:tcPr>
            <w:tcW w:w="6243" w:type="dxa"/>
            <w:tcBorders>
              <w:top w:val="nil"/>
              <w:left w:val="single" w:sz="4" w:space="0" w:color="auto"/>
              <w:bottom w:val="single" w:sz="4" w:space="0" w:color="auto"/>
              <w:right w:val="single" w:sz="4" w:space="0" w:color="000000"/>
            </w:tcBorders>
            <w:shd w:val="clear" w:color="auto" w:fill="auto"/>
            <w:vAlign w:val="bottom"/>
            <w:hideMark/>
          </w:tcPr>
          <w:p w:rsidR="00362DD6" w:rsidRPr="00362DD6" w:rsidRDefault="00A350A2" w:rsidP="00B368A1">
            <w:pPr>
              <w:spacing w:after="0" w:line="240" w:lineRule="auto"/>
              <w:rPr>
                <w:rFonts w:ascii="Calibri" w:eastAsia="Times New Roman" w:hAnsi="Calibri" w:cs="Calibri"/>
                <w:color w:val="0563C1"/>
                <w:sz w:val="24"/>
                <w:szCs w:val="24"/>
                <w:u w:val="single"/>
                <w:lang w:eastAsia="fr-FR"/>
              </w:rPr>
            </w:pPr>
            <w:r w:rsidRPr="00A350A2">
              <w:rPr>
                <w:rFonts w:ascii="Calibri" w:eastAsia="Times New Roman" w:hAnsi="Calibri" w:cs="Calibri"/>
                <w:color w:val="0563C1"/>
                <w:sz w:val="24"/>
                <w:szCs w:val="24"/>
                <w:u w:val="single"/>
                <w:lang w:eastAsia="fr-FR"/>
              </w:rPr>
              <w:t>https://www.faq-logistique.com/KPI-logistique.htm</w:t>
            </w:r>
          </w:p>
        </w:tc>
      </w:tr>
      <w:tr w:rsidR="00362DD6" w:rsidRPr="00362DD6" w:rsidTr="00445626">
        <w:trPr>
          <w:trHeight w:val="315"/>
        </w:trPr>
        <w:tc>
          <w:tcPr>
            <w:tcW w:w="2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b/>
                <w:bCs/>
                <w:color w:val="000000"/>
                <w:sz w:val="24"/>
                <w:szCs w:val="24"/>
                <w:lang w:eastAsia="fr-FR"/>
              </w:rPr>
            </w:pPr>
          </w:p>
        </w:tc>
        <w:tc>
          <w:tcPr>
            <w:tcW w:w="6243" w:type="dxa"/>
            <w:tcBorders>
              <w:top w:val="nil"/>
              <w:left w:val="single" w:sz="4" w:space="0" w:color="auto"/>
              <w:bottom w:val="single" w:sz="4" w:space="0" w:color="auto"/>
              <w:right w:val="single" w:sz="4" w:space="0" w:color="000000"/>
            </w:tcBorders>
            <w:shd w:val="clear" w:color="auto" w:fill="auto"/>
            <w:vAlign w:val="bottom"/>
            <w:hideMark/>
          </w:tcPr>
          <w:p w:rsidR="00362DD6" w:rsidRPr="00362DD6" w:rsidRDefault="00A350A2" w:rsidP="00AF1C75">
            <w:pPr>
              <w:spacing w:after="0" w:line="240" w:lineRule="auto"/>
              <w:rPr>
                <w:rFonts w:ascii="Calibri" w:eastAsia="Times New Roman" w:hAnsi="Calibri" w:cs="Calibri"/>
                <w:color w:val="0563C1"/>
                <w:sz w:val="24"/>
                <w:szCs w:val="24"/>
                <w:u w:val="single"/>
                <w:lang w:eastAsia="fr-FR"/>
              </w:rPr>
            </w:pPr>
            <w:r w:rsidRPr="00A350A2">
              <w:rPr>
                <w:rFonts w:ascii="Calibri" w:eastAsia="Times New Roman" w:hAnsi="Calibri" w:cs="Calibri"/>
                <w:color w:val="0563C1"/>
                <w:sz w:val="24"/>
                <w:szCs w:val="24"/>
                <w:u w:val="single"/>
                <w:lang w:eastAsia="fr-FR"/>
              </w:rPr>
              <w:t>http://www.logistiqueconseil.org/Articles/Logistique/Tableau-de-bord.htm</w:t>
            </w:r>
          </w:p>
        </w:tc>
      </w:tr>
      <w:tr w:rsidR="00362DD6" w:rsidRPr="00362DD6" w:rsidTr="00445626">
        <w:trPr>
          <w:trHeight w:val="315"/>
        </w:trPr>
        <w:tc>
          <w:tcPr>
            <w:tcW w:w="2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color w:val="000000"/>
                <w:sz w:val="24"/>
                <w:szCs w:val="24"/>
                <w:lang w:eastAsia="fr-FR"/>
              </w:rPr>
            </w:pPr>
            <w:r w:rsidRPr="00362DD6">
              <w:rPr>
                <w:rFonts w:ascii="Calibri" w:eastAsia="Times New Roman" w:hAnsi="Calibri" w:cs="Calibri"/>
                <w:color w:val="000000"/>
                <w:sz w:val="24"/>
                <w:szCs w:val="24"/>
                <w:lang w:eastAsia="fr-FR"/>
              </w:rPr>
              <w:t> </w:t>
            </w:r>
          </w:p>
        </w:tc>
        <w:tc>
          <w:tcPr>
            <w:tcW w:w="6243" w:type="dxa"/>
            <w:tcBorders>
              <w:top w:val="nil"/>
              <w:left w:val="single" w:sz="4" w:space="0" w:color="auto"/>
              <w:bottom w:val="single" w:sz="4" w:space="0" w:color="auto"/>
              <w:right w:val="single" w:sz="4" w:space="0" w:color="000000"/>
            </w:tcBorders>
            <w:shd w:val="clear" w:color="auto" w:fill="auto"/>
            <w:vAlign w:val="bottom"/>
            <w:hideMark/>
          </w:tcPr>
          <w:p w:rsidR="00362DD6" w:rsidRPr="00362DD6" w:rsidRDefault="00A350A2" w:rsidP="00DA198F">
            <w:pPr>
              <w:spacing w:after="0" w:line="240" w:lineRule="auto"/>
              <w:rPr>
                <w:rFonts w:ascii="Calibri" w:eastAsia="Times New Roman" w:hAnsi="Calibri" w:cs="Calibri"/>
                <w:color w:val="0563C1"/>
                <w:sz w:val="24"/>
                <w:szCs w:val="24"/>
                <w:u w:val="single"/>
                <w:lang w:eastAsia="fr-FR"/>
              </w:rPr>
            </w:pPr>
            <w:r w:rsidRPr="00A350A2">
              <w:rPr>
                <w:rFonts w:ascii="Calibri" w:eastAsia="Times New Roman" w:hAnsi="Calibri" w:cs="Calibri"/>
                <w:color w:val="0563C1"/>
                <w:sz w:val="24"/>
                <w:szCs w:val="24"/>
                <w:u w:val="single"/>
                <w:lang w:eastAsia="fr-FR"/>
              </w:rPr>
              <w:t>http://www.web-logistique.com/exemples_indicateurs.htm</w:t>
            </w:r>
          </w:p>
        </w:tc>
      </w:tr>
      <w:tr w:rsidR="00362DD6" w:rsidRPr="00362DD6" w:rsidTr="00445626">
        <w:trPr>
          <w:trHeight w:val="315"/>
        </w:trPr>
        <w:tc>
          <w:tcPr>
            <w:tcW w:w="2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color w:val="000000"/>
                <w:sz w:val="24"/>
                <w:szCs w:val="24"/>
                <w:lang w:eastAsia="fr-FR"/>
              </w:rPr>
            </w:pPr>
            <w:r w:rsidRPr="00362DD6">
              <w:rPr>
                <w:rFonts w:ascii="Calibri" w:eastAsia="Times New Roman" w:hAnsi="Calibri" w:cs="Calibri"/>
                <w:color w:val="000000"/>
                <w:sz w:val="24"/>
                <w:szCs w:val="24"/>
                <w:lang w:eastAsia="fr-FR"/>
              </w:rPr>
              <w:t> </w:t>
            </w:r>
          </w:p>
        </w:tc>
        <w:tc>
          <w:tcPr>
            <w:tcW w:w="6243" w:type="dxa"/>
            <w:tcBorders>
              <w:top w:val="nil"/>
              <w:left w:val="single" w:sz="4" w:space="0" w:color="auto"/>
              <w:bottom w:val="single" w:sz="4" w:space="0" w:color="auto"/>
              <w:right w:val="single" w:sz="4" w:space="0" w:color="000000"/>
            </w:tcBorders>
            <w:shd w:val="clear" w:color="auto" w:fill="auto"/>
            <w:vAlign w:val="bottom"/>
            <w:hideMark/>
          </w:tcPr>
          <w:p w:rsidR="00362DD6" w:rsidRPr="00362DD6" w:rsidRDefault="00362DD6" w:rsidP="00AF1C75">
            <w:pPr>
              <w:spacing w:after="0" w:line="240" w:lineRule="auto"/>
              <w:rPr>
                <w:rFonts w:ascii="Calibri" w:eastAsia="Times New Roman" w:hAnsi="Calibri" w:cs="Calibri"/>
                <w:color w:val="0563C1"/>
                <w:sz w:val="24"/>
                <w:szCs w:val="24"/>
                <w:u w:val="single"/>
                <w:lang w:eastAsia="fr-FR"/>
              </w:rPr>
            </w:pPr>
          </w:p>
        </w:tc>
      </w:tr>
      <w:tr w:rsidR="00362DD6" w:rsidRPr="00362DD6" w:rsidTr="00445626">
        <w:trPr>
          <w:trHeight w:val="315"/>
        </w:trPr>
        <w:tc>
          <w:tcPr>
            <w:tcW w:w="2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DD6" w:rsidRPr="00362DD6" w:rsidRDefault="00362DD6" w:rsidP="007733A0">
            <w:pPr>
              <w:spacing w:after="0" w:line="240" w:lineRule="auto"/>
              <w:jc w:val="center"/>
              <w:rPr>
                <w:rFonts w:ascii="Calibri" w:eastAsia="Times New Roman" w:hAnsi="Calibri" w:cs="Calibri"/>
                <w:color w:val="000000"/>
                <w:sz w:val="24"/>
                <w:szCs w:val="24"/>
                <w:lang w:eastAsia="fr-FR"/>
              </w:rPr>
            </w:pPr>
            <w:r w:rsidRPr="00362DD6">
              <w:rPr>
                <w:rFonts w:ascii="Calibri" w:eastAsia="Times New Roman" w:hAnsi="Calibri" w:cs="Calibri"/>
                <w:color w:val="000000"/>
                <w:sz w:val="24"/>
                <w:szCs w:val="24"/>
                <w:lang w:eastAsia="fr-FR"/>
              </w:rPr>
              <w:t> </w:t>
            </w:r>
          </w:p>
        </w:tc>
        <w:tc>
          <w:tcPr>
            <w:tcW w:w="6243" w:type="dxa"/>
            <w:tcBorders>
              <w:top w:val="nil"/>
              <w:left w:val="single" w:sz="4" w:space="0" w:color="auto"/>
              <w:bottom w:val="single" w:sz="4" w:space="0" w:color="auto"/>
              <w:right w:val="single" w:sz="4" w:space="0" w:color="000000"/>
            </w:tcBorders>
            <w:shd w:val="clear" w:color="auto" w:fill="auto"/>
            <w:vAlign w:val="bottom"/>
            <w:hideMark/>
          </w:tcPr>
          <w:p w:rsidR="00362DD6" w:rsidRPr="00362DD6" w:rsidRDefault="00362DD6" w:rsidP="00AF1C75">
            <w:pPr>
              <w:spacing w:after="0" w:line="240" w:lineRule="auto"/>
              <w:rPr>
                <w:rFonts w:ascii="Calibri" w:eastAsia="Times New Roman" w:hAnsi="Calibri" w:cs="Calibri"/>
                <w:color w:val="0563C1"/>
                <w:sz w:val="24"/>
                <w:szCs w:val="24"/>
                <w:u w:val="single"/>
                <w:lang w:eastAsia="fr-FR"/>
              </w:rPr>
            </w:pPr>
          </w:p>
        </w:tc>
      </w:tr>
    </w:tbl>
    <w:p w:rsidR="00362DD6" w:rsidRDefault="00362DD6" w:rsidP="00362DD6"/>
    <w:sectPr w:rsidR="00362D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NeueLT Com 45 Lt">
    <w:altName w:val="Arial"/>
    <w:charset w:val="00"/>
    <w:family w:val="swiss"/>
    <w:pitch w:val="variable"/>
    <w:sig w:usb0="8000008F" w:usb1="10002042" w:usb2="00000000" w:usb3="00000000" w:csb0="0000009B" w:csb1="00000000"/>
  </w:font>
  <w:font w:name="PF Universal">
    <w:altName w:val="Calibri"/>
    <w:panose1 w:val="00000000000000000000"/>
    <w:charset w:val="00"/>
    <w:family w:val="modern"/>
    <w:notTrueType/>
    <w:pitch w:val="variable"/>
    <w:sig w:usb0="8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96FF1"/>
    <w:multiLevelType w:val="hybridMultilevel"/>
    <w:tmpl w:val="6B56382C"/>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
    <w:nsid w:val="0DB3359D"/>
    <w:multiLevelType w:val="hybridMultilevel"/>
    <w:tmpl w:val="E7F2D0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F4B728F"/>
    <w:multiLevelType w:val="hybridMultilevel"/>
    <w:tmpl w:val="F84E8F0A"/>
    <w:lvl w:ilvl="0" w:tplc="BF48B3D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48B14CB"/>
    <w:multiLevelType w:val="hybridMultilevel"/>
    <w:tmpl w:val="BAC00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F4A6DBA"/>
    <w:multiLevelType w:val="hybridMultilevel"/>
    <w:tmpl w:val="E7F2D0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02C0C54"/>
    <w:multiLevelType w:val="hybridMultilevel"/>
    <w:tmpl w:val="230E398E"/>
    <w:lvl w:ilvl="0" w:tplc="64BE6AC2">
      <w:start w:val="1"/>
      <w:numFmt w:val="upp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nsid w:val="7F9A1320"/>
    <w:multiLevelType w:val="hybridMultilevel"/>
    <w:tmpl w:val="3142175C"/>
    <w:lvl w:ilvl="0" w:tplc="16180048">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DD6"/>
    <w:rsid w:val="00016BBC"/>
    <w:rsid w:val="000E3E0A"/>
    <w:rsid w:val="003010C1"/>
    <w:rsid w:val="00311945"/>
    <w:rsid w:val="00362DD6"/>
    <w:rsid w:val="003707BD"/>
    <w:rsid w:val="00445626"/>
    <w:rsid w:val="00491FCC"/>
    <w:rsid w:val="00566BEB"/>
    <w:rsid w:val="005E184C"/>
    <w:rsid w:val="007B5AF0"/>
    <w:rsid w:val="007D49AF"/>
    <w:rsid w:val="0089336D"/>
    <w:rsid w:val="008E1D0A"/>
    <w:rsid w:val="008E7A89"/>
    <w:rsid w:val="009541C9"/>
    <w:rsid w:val="00A350A2"/>
    <w:rsid w:val="00A77CB0"/>
    <w:rsid w:val="00AF1C75"/>
    <w:rsid w:val="00B33CFF"/>
    <w:rsid w:val="00B368A1"/>
    <w:rsid w:val="00C26C4E"/>
    <w:rsid w:val="00C71E88"/>
    <w:rsid w:val="00CC7DAB"/>
    <w:rsid w:val="00DA198F"/>
    <w:rsid w:val="00E62E13"/>
    <w:rsid w:val="00E755C2"/>
    <w:rsid w:val="00F91836"/>
    <w:rsid w:val="00FA21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0A"/>
    <w:pPr>
      <w:spacing w:line="360" w:lineRule="auto"/>
    </w:pPr>
    <w:rPr>
      <w:rFonts w:ascii="HelveticaNeueLT Com 45 Lt" w:hAnsi="HelveticaNeueLT Com 45 Lt"/>
    </w:rPr>
  </w:style>
  <w:style w:type="paragraph" w:styleId="Titre1">
    <w:name w:val="heading 1"/>
    <w:basedOn w:val="Normal"/>
    <w:next w:val="Normal"/>
    <w:link w:val="Titre1Car"/>
    <w:uiPriority w:val="9"/>
    <w:qFormat/>
    <w:rsid w:val="000E3E0A"/>
    <w:pPr>
      <w:keepNext/>
      <w:keepLines/>
      <w:spacing w:before="240" w:after="0" w:line="300" w:lineRule="exact"/>
      <w:outlineLvl w:val="0"/>
    </w:pPr>
    <w:rPr>
      <w:rFonts w:ascii="PF Universal" w:eastAsiaTheme="majorEastAsia" w:hAnsi="PF Universal" w:cstheme="majorBidi"/>
      <w:color w:val="EA2429"/>
      <w:sz w:val="32"/>
      <w:szCs w:val="32"/>
    </w:rPr>
  </w:style>
  <w:style w:type="paragraph" w:styleId="Titre2">
    <w:name w:val="heading 2"/>
    <w:basedOn w:val="Normal"/>
    <w:next w:val="Normal"/>
    <w:link w:val="Titre2Car"/>
    <w:uiPriority w:val="9"/>
    <w:unhideWhenUsed/>
    <w:qFormat/>
    <w:rsid w:val="00B33CFF"/>
    <w:pPr>
      <w:keepNext/>
      <w:keepLines/>
      <w:spacing w:before="240" w:after="0" w:line="360" w:lineRule="exact"/>
      <w:outlineLvl w:val="1"/>
    </w:pPr>
    <w:rPr>
      <w:rFonts w:ascii="PF Universal" w:eastAsiaTheme="majorEastAsia" w:hAnsi="PF Universal" w:cstheme="majorBidi"/>
      <w:caps/>
      <w:color w:val="2AA9E0"/>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E3E0A"/>
    <w:rPr>
      <w:rFonts w:ascii="PF Universal" w:eastAsiaTheme="majorEastAsia" w:hAnsi="PF Universal" w:cstheme="majorBidi"/>
      <w:color w:val="EA2429"/>
      <w:sz w:val="32"/>
      <w:szCs w:val="32"/>
    </w:rPr>
  </w:style>
  <w:style w:type="character" w:customStyle="1" w:styleId="Titre2Car">
    <w:name w:val="Titre 2 Car"/>
    <w:basedOn w:val="Policepardfaut"/>
    <w:link w:val="Titre2"/>
    <w:uiPriority w:val="9"/>
    <w:rsid w:val="00B33CFF"/>
    <w:rPr>
      <w:rFonts w:ascii="PF Universal" w:eastAsiaTheme="majorEastAsia" w:hAnsi="PF Universal" w:cstheme="majorBidi"/>
      <w:caps/>
      <w:color w:val="2AA9E0"/>
      <w:sz w:val="26"/>
      <w:szCs w:val="26"/>
    </w:rPr>
  </w:style>
  <w:style w:type="paragraph" w:styleId="Paragraphedeliste">
    <w:name w:val="List Paragraph"/>
    <w:basedOn w:val="Normal"/>
    <w:uiPriority w:val="34"/>
    <w:qFormat/>
    <w:rsid w:val="000E3E0A"/>
    <w:pPr>
      <w:spacing w:before="240" w:after="240" w:line="360" w:lineRule="exact"/>
      <w:ind w:left="720"/>
    </w:pPr>
    <w:rPr>
      <w:color w:val="404040" w:themeColor="text1" w:themeTint="BF"/>
    </w:rPr>
  </w:style>
  <w:style w:type="paragraph" w:styleId="Titre">
    <w:name w:val="Title"/>
    <w:basedOn w:val="Normal"/>
    <w:next w:val="Normal"/>
    <w:link w:val="TitreCar"/>
    <w:uiPriority w:val="10"/>
    <w:qFormat/>
    <w:rsid w:val="00E755C2"/>
    <w:pPr>
      <w:spacing w:after="0" w:line="240" w:lineRule="auto"/>
      <w:contextualSpacing/>
    </w:pPr>
    <w:rPr>
      <w:rFonts w:ascii="PF Universal" w:eastAsiaTheme="majorEastAsia" w:hAnsi="PF Universal" w:cstheme="majorBidi"/>
      <w:spacing w:val="-10"/>
      <w:kern w:val="28"/>
      <w:sz w:val="56"/>
      <w:szCs w:val="56"/>
    </w:rPr>
  </w:style>
  <w:style w:type="character" w:customStyle="1" w:styleId="TitreCar">
    <w:name w:val="Titre Car"/>
    <w:basedOn w:val="Policepardfaut"/>
    <w:link w:val="Titre"/>
    <w:uiPriority w:val="10"/>
    <w:rsid w:val="00E755C2"/>
    <w:rPr>
      <w:rFonts w:ascii="PF Universal" w:eastAsiaTheme="majorEastAsia" w:hAnsi="PF Universal" w:cstheme="majorBidi"/>
      <w:spacing w:val="-10"/>
      <w:kern w:val="28"/>
      <w:sz w:val="56"/>
      <w:szCs w:val="56"/>
    </w:rPr>
  </w:style>
  <w:style w:type="paragraph" w:styleId="Textedebulles">
    <w:name w:val="Balloon Text"/>
    <w:basedOn w:val="Normal"/>
    <w:link w:val="TextedebullesCar"/>
    <w:uiPriority w:val="99"/>
    <w:semiHidden/>
    <w:unhideWhenUsed/>
    <w:rsid w:val="003010C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010C1"/>
    <w:rPr>
      <w:rFonts w:ascii="Tahoma" w:hAnsi="Tahoma" w:cs="Tahoma"/>
      <w:sz w:val="16"/>
      <w:szCs w:val="16"/>
    </w:rPr>
  </w:style>
  <w:style w:type="table" w:styleId="Grilledutableau">
    <w:name w:val="Table Grid"/>
    <w:basedOn w:val="TableauNormal"/>
    <w:uiPriority w:val="39"/>
    <w:rsid w:val="00A77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0A"/>
    <w:pPr>
      <w:spacing w:line="360" w:lineRule="auto"/>
    </w:pPr>
    <w:rPr>
      <w:rFonts w:ascii="HelveticaNeueLT Com 45 Lt" w:hAnsi="HelveticaNeueLT Com 45 Lt"/>
    </w:rPr>
  </w:style>
  <w:style w:type="paragraph" w:styleId="Titre1">
    <w:name w:val="heading 1"/>
    <w:basedOn w:val="Normal"/>
    <w:next w:val="Normal"/>
    <w:link w:val="Titre1Car"/>
    <w:uiPriority w:val="9"/>
    <w:qFormat/>
    <w:rsid w:val="000E3E0A"/>
    <w:pPr>
      <w:keepNext/>
      <w:keepLines/>
      <w:spacing w:before="240" w:after="0" w:line="300" w:lineRule="exact"/>
      <w:outlineLvl w:val="0"/>
    </w:pPr>
    <w:rPr>
      <w:rFonts w:ascii="PF Universal" w:eastAsiaTheme="majorEastAsia" w:hAnsi="PF Universal" w:cstheme="majorBidi"/>
      <w:color w:val="EA2429"/>
      <w:sz w:val="32"/>
      <w:szCs w:val="32"/>
    </w:rPr>
  </w:style>
  <w:style w:type="paragraph" w:styleId="Titre2">
    <w:name w:val="heading 2"/>
    <w:basedOn w:val="Normal"/>
    <w:next w:val="Normal"/>
    <w:link w:val="Titre2Car"/>
    <w:uiPriority w:val="9"/>
    <w:unhideWhenUsed/>
    <w:qFormat/>
    <w:rsid w:val="00B33CFF"/>
    <w:pPr>
      <w:keepNext/>
      <w:keepLines/>
      <w:spacing w:before="240" w:after="0" w:line="360" w:lineRule="exact"/>
      <w:outlineLvl w:val="1"/>
    </w:pPr>
    <w:rPr>
      <w:rFonts w:ascii="PF Universal" w:eastAsiaTheme="majorEastAsia" w:hAnsi="PF Universal" w:cstheme="majorBidi"/>
      <w:caps/>
      <w:color w:val="2AA9E0"/>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E3E0A"/>
    <w:rPr>
      <w:rFonts w:ascii="PF Universal" w:eastAsiaTheme="majorEastAsia" w:hAnsi="PF Universal" w:cstheme="majorBidi"/>
      <w:color w:val="EA2429"/>
      <w:sz w:val="32"/>
      <w:szCs w:val="32"/>
    </w:rPr>
  </w:style>
  <w:style w:type="character" w:customStyle="1" w:styleId="Titre2Car">
    <w:name w:val="Titre 2 Car"/>
    <w:basedOn w:val="Policepardfaut"/>
    <w:link w:val="Titre2"/>
    <w:uiPriority w:val="9"/>
    <w:rsid w:val="00B33CFF"/>
    <w:rPr>
      <w:rFonts w:ascii="PF Universal" w:eastAsiaTheme="majorEastAsia" w:hAnsi="PF Universal" w:cstheme="majorBidi"/>
      <w:caps/>
      <w:color w:val="2AA9E0"/>
      <w:sz w:val="26"/>
      <w:szCs w:val="26"/>
    </w:rPr>
  </w:style>
  <w:style w:type="paragraph" w:styleId="Paragraphedeliste">
    <w:name w:val="List Paragraph"/>
    <w:basedOn w:val="Normal"/>
    <w:uiPriority w:val="34"/>
    <w:qFormat/>
    <w:rsid w:val="000E3E0A"/>
    <w:pPr>
      <w:spacing w:before="240" w:after="240" w:line="360" w:lineRule="exact"/>
      <w:ind w:left="720"/>
    </w:pPr>
    <w:rPr>
      <w:color w:val="404040" w:themeColor="text1" w:themeTint="BF"/>
    </w:rPr>
  </w:style>
  <w:style w:type="paragraph" w:styleId="Titre">
    <w:name w:val="Title"/>
    <w:basedOn w:val="Normal"/>
    <w:next w:val="Normal"/>
    <w:link w:val="TitreCar"/>
    <w:uiPriority w:val="10"/>
    <w:qFormat/>
    <w:rsid w:val="00E755C2"/>
    <w:pPr>
      <w:spacing w:after="0" w:line="240" w:lineRule="auto"/>
      <w:contextualSpacing/>
    </w:pPr>
    <w:rPr>
      <w:rFonts w:ascii="PF Universal" w:eastAsiaTheme="majorEastAsia" w:hAnsi="PF Universal" w:cstheme="majorBidi"/>
      <w:spacing w:val="-10"/>
      <w:kern w:val="28"/>
      <w:sz w:val="56"/>
      <w:szCs w:val="56"/>
    </w:rPr>
  </w:style>
  <w:style w:type="character" w:customStyle="1" w:styleId="TitreCar">
    <w:name w:val="Titre Car"/>
    <w:basedOn w:val="Policepardfaut"/>
    <w:link w:val="Titre"/>
    <w:uiPriority w:val="10"/>
    <w:rsid w:val="00E755C2"/>
    <w:rPr>
      <w:rFonts w:ascii="PF Universal" w:eastAsiaTheme="majorEastAsia" w:hAnsi="PF Universal" w:cstheme="majorBidi"/>
      <w:spacing w:val="-10"/>
      <w:kern w:val="28"/>
      <w:sz w:val="56"/>
      <w:szCs w:val="56"/>
    </w:rPr>
  </w:style>
  <w:style w:type="paragraph" w:styleId="Textedebulles">
    <w:name w:val="Balloon Text"/>
    <w:basedOn w:val="Normal"/>
    <w:link w:val="TextedebullesCar"/>
    <w:uiPriority w:val="99"/>
    <w:semiHidden/>
    <w:unhideWhenUsed/>
    <w:rsid w:val="003010C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010C1"/>
    <w:rPr>
      <w:rFonts w:ascii="Tahoma" w:hAnsi="Tahoma" w:cs="Tahoma"/>
      <w:sz w:val="16"/>
      <w:szCs w:val="16"/>
    </w:rPr>
  </w:style>
  <w:style w:type="table" w:styleId="Grilledutableau">
    <w:name w:val="Table Grid"/>
    <w:basedOn w:val="TableauNormal"/>
    <w:uiPriority w:val="39"/>
    <w:rsid w:val="00A77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3816">
      <w:bodyDiv w:val="1"/>
      <w:marLeft w:val="0"/>
      <w:marRight w:val="0"/>
      <w:marTop w:val="0"/>
      <w:marBottom w:val="0"/>
      <w:divBdr>
        <w:top w:val="none" w:sz="0" w:space="0" w:color="auto"/>
        <w:left w:val="none" w:sz="0" w:space="0" w:color="auto"/>
        <w:bottom w:val="none" w:sz="0" w:space="0" w:color="auto"/>
        <w:right w:val="none" w:sz="0" w:space="0" w:color="auto"/>
      </w:divBdr>
    </w:div>
    <w:div w:id="34430521">
      <w:bodyDiv w:val="1"/>
      <w:marLeft w:val="0"/>
      <w:marRight w:val="0"/>
      <w:marTop w:val="0"/>
      <w:marBottom w:val="0"/>
      <w:divBdr>
        <w:top w:val="none" w:sz="0" w:space="0" w:color="auto"/>
        <w:left w:val="none" w:sz="0" w:space="0" w:color="auto"/>
        <w:bottom w:val="none" w:sz="0" w:space="0" w:color="auto"/>
        <w:right w:val="none" w:sz="0" w:space="0" w:color="auto"/>
      </w:divBdr>
    </w:div>
    <w:div w:id="263348199">
      <w:bodyDiv w:val="1"/>
      <w:marLeft w:val="0"/>
      <w:marRight w:val="0"/>
      <w:marTop w:val="0"/>
      <w:marBottom w:val="0"/>
      <w:divBdr>
        <w:top w:val="none" w:sz="0" w:space="0" w:color="auto"/>
        <w:left w:val="none" w:sz="0" w:space="0" w:color="auto"/>
        <w:bottom w:val="none" w:sz="0" w:space="0" w:color="auto"/>
        <w:right w:val="none" w:sz="0" w:space="0" w:color="auto"/>
      </w:divBdr>
    </w:div>
    <w:div w:id="478963813">
      <w:bodyDiv w:val="1"/>
      <w:marLeft w:val="0"/>
      <w:marRight w:val="0"/>
      <w:marTop w:val="0"/>
      <w:marBottom w:val="0"/>
      <w:divBdr>
        <w:top w:val="none" w:sz="0" w:space="0" w:color="auto"/>
        <w:left w:val="none" w:sz="0" w:space="0" w:color="auto"/>
        <w:bottom w:val="none" w:sz="0" w:space="0" w:color="auto"/>
        <w:right w:val="none" w:sz="0" w:space="0" w:color="auto"/>
      </w:divBdr>
    </w:div>
    <w:div w:id="521671544">
      <w:bodyDiv w:val="1"/>
      <w:marLeft w:val="0"/>
      <w:marRight w:val="0"/>
      <w:marTop w:val="0"/>
      <w:marBottom w:val="0"/>
      <w:divBdr>
        <w:top w:val="none" w:sz="0" w:space="0" w:color="auto"/>
        <w:left w:val="none" w:sz="0" w:space="0" w:color="auto"/>
        <w:bottom w:val="none" w:sz="0" w:space="0" w:color="auto"/>
        <w:right w:val="none" w:sz="0" w:space="0" w:color="auto"/>
      </w:divBdr>
    </w:div>
    <w:div w:id="872771362">
      <w:bodyDiv w:val="1"/>
      <w:marLeft w:val="0"/>
      <w:marRight w:val="0"/>
      <w:marTop w:val="0"/>
      <w:marBottom w:val="0"/>
      <w:divBdr>
        <w:top w:val="none" w:sz="0" w:space="0" w:color="auto"/>
        <w:left w:val="none" w:sz="0" w:space="0" w:color="auto"/>
        <w:bottom w:val="none" w:sz="0" w:space="0" w:color="auto"/>
        <w:right w:val="none" w:sz="0" w:space="0" w:color="auto"/>
      </w:divBdr>
    </w:div>
    <w:div w:id="1140532875">
      <w:bodyDiv w:val="1"/>
      <w:marLeft w:val="0"/>
      <w:marRight w:val="0"/>
      <w:marTop w:val="0"/>
      <w:marBottom w:val="0"/>
      <w:divBdr>
        <w:top w:val="none" w:sz="0" w:space="0" w:color="auto"/>
        <w:left w:val="none" w:sz="0" w:space="0" w:color="auto"/>
        <w:bottom w:val="none" w:sz="0" w:space="0" w:color="auto"/>
        <w:right w:val="none" w:sz="0" w:space="0" w:color="auto"/>
      </w:divBdr>
    </w:div>
    <w:div w:id="1559439165">
      <w:bodyDiv w:val="1"/>
      <w:marLeft w:val="0"/>
      <w:marRight w:val="0"/>
      <w:marTop w:val="0"/>
      <w:marBottom w:val="0"/>
      <w:divBdr>
        <w:top w:val="none" w:sz="0" w:space="0" w:color="auto"/>
        <w:left w:val="none" w:sz="0" w:space="0" w:color="auto"/>
        <w:bottom w:val="none" w:sz="0" w:space="0" w:color="auto"/>
        <w:right w:val="none" w:sz="0" w:space="0" w:color="auto"/>
      </w:divBdr>
    </w:div>
    <w:div w:id="1775634070">
      <w:bodyDiv w:val="1"/>
      <w:marLeft w:val="0"/>
      <w:marRight w:val="0"/>
      <w:marTop w:val="0"/>
      <w:marBottom w:val="0"/>
      <w:divBdr>
        <w:top w:val="none" w:sz="0" w:space="0" w:color="auto"/>
        <w:left w:val="none" w:sz="0" w:space="0" w:color="auto"/>
        <w:bottom w:val="none" w:sz="0" w:space="0" w:color="auto"/>
        <w:right w:val="none" w:sz="0" w:space="0" w:color="auto"/>
      </w:divBdr>
    </w:div>
    <w:div w:id="1865166278">
      <w:bodyDiv w:val="1"/>
      <w:marLeft w:val="0"/>
      <w:marRight w:val="0"/>
      <w:marTop w:val="0"/>
      <w:marBottom w:val="0"/>
      <w:divBdr>
        <w:top w:val="none" w:sz="0" w:space="0" w:color="auto"/>
        <w:left w:val="none" w:sz="0" w:space="0" w:color="auto"/>
        <w:bottom w:val="none" w:sz="0" w:space="0" w:color="auto"/>
        <w:right w:val="none" w:sz="0" w:space="0" w:color="auto"/>
      </w:divBdr>
    </w:div>
    <w:div w:id="214546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5A60184724F4E800516111CD9CEA4" ma:contentTypeVersion="8" ma:contentTypeDescription="Crée un document." ma:contentTypeScope="" ma:versionID="82f706dfb476832de27c8fe917aef28a">
  <xsd:schema xmlns:xsd="http://www.w3.org/2001/XMLSchema" xmlns:xs="http://www.w3.org/2001/XMLSchema" xmlns:p="http://schemas.microsoft.com/office/2006/metadata/properties" xmlns:ns2="43cafa6b-993a-41ac-9c17-58ea52c342e3" xmlns:ns3="a9a482c4-837b-4d30-9000-1f34cf7b234d" targetNamespace="http://schemas.microsoft.com/office/2006/metadata/properties" ma:root="true" ma:fieldsID="3a0ce1ca219d304938ac74975c6e2750" ns2:_="" ns3:_="">
    <xsd:import namespace="43cafa6b-993a-41ac-9c17-58ea52c342e3"/>
    <xsd:import namespace="a9a482c4-837b-4d30-9000-1f34cf7b23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2:MediaServiceLocation"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afa6b-993a-41ac-9c17-58ea52c342e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3"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482c4-837b-4d30-9000-1f34cf7b234d" elementFormDefault="qualified">
    <xsd:import namespace="http://schemas.microsoft.com/office/2006/documentManagement/types"/>
    <xsd:import namespace="http://schemas.microsoft.com/office/infopath/2007/PartnerControls"/>
    <xsd:element name="SharedWithUsers" ma:index="12"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DDDB7F-F165-442C-8B9F-11C9DB2CF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afa6b-993a-41ac-9c17-58ea52c342e3"/>
    <ds:schemaRef ds:uri="a9a482c4-837b-4d30-9000-1f34cf7b2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69A08-1F6D-41AB-9008-58ED0BCD3D97}">
  <ds:schemaRefs>
    <ds:schemaRef ds:uri="http://schemas.microsoft.com/sharepoint/v3/contenttype/forms"/>
  </ds:schemaRefs>
</ds:datastoreItem>
</file>

<file path=customXml/itemProps3.xml><?xml version="1.0" encoding="utf-8"?>
<ds:datastoreItem xmlns:ds="http://schemas.openxmlformats.org/officeDocument/2006/customXml" ds:itemID="{BA732E0C-6216-482A-84E7-02005F5251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6069</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REF</Company>
  <LinksUpToDate>false</LinksUpToDate>
  <CharactersWithSpaces>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Troillard</dc:creator>
  <cp:lastModifiedBy>Niquel, Solene (RX)</cp:lastModifiedBy>
  <cp:revision>2</cp:revision>
  <dcterms:created xsi:type="dcterms:W3CDTF">2018-08-17T10:29:00Z</dcterms:created>
  <dcterms:modified xsi:type="dcterms:W3CDTF">2018-08-17T10:29:00Z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0x0101000A75A60184724F4E800516111CD9CEA4</vt:lpwstr>
  </property>
</Properties>
</file>